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7B95" w14:textId="77777777" w:rsidR="00EE6AE6" w:rsidRPr="00EE6AE6" w:rsidRDefault="00EE6AE6" w:rsidP="007D3295">
      <w:pPr>
        <w:spacing w:line="360" w:lineRule="auto"/>
        <w:ind w:firstLine="567"/>
        <w:jc w:val="center"/>
        <w:rPr>
          <w:b/>
        </w:rPr>
      </w:pPr>
      <w:r w:rsidRPr="00EE6AE6">
        <w:rPr>
          <w:b/>
        </w:rPr>
        <w:t>Jean-François Gilmont</w:t>
      </w:r>
      <w:r w:rsidR="007D3295">
        <w:rPr>
          <w:b/>
        </w:rPr>
        <w:t xml:space="preserve"> (1934-2020)</w:t>
      </w:r>
    </w:p>
    <w:p w14:paraId="0047E48A" w14:textId="77777777" w:rsidR="00EE6AE6" w:rsidRDefault="00EE6AE6" w:rsidP="007D3295">
      <w:pPr>
        <w:spacing w:line="360" w:lineRule="auto"/>
        <w:ind w:firstLine="567"/>
        <w:jc w:val="both"/>
      </w:pPr>
    </w:p>
    <w:p w14:paraId="61173AB4" w14:textId="77777777" w:rsidR="00EE6AE6" w:rsidRDefault="00EE6AE6" w:rsidP="007D3295">
      <w:pPr>
        <w:spacing w:line="360" w:lineRule="auto"/>
        <w:ind w:firstLine="567"/>
        <w:jc w:val="both"/>
      </w:pPr>
    </w:p>
    <w:p w14:paraId="5333EA8D" w14:textId="77777777" w:rsidR="00EE6AE6" w:rsidRDefault="006B5C0A" w:rsidP="007D3295">
      <w:pPr>
        <w:spacing w:line="360" w:lineRule="auto"/>
        <w:ind w:firstLine="567"/>
        <w:jc w:val="both"/>
      </w:pPr>
      <w:r>
        <w:t>Jean-François Gilmont, bibliographe</w:t>
      </w:r>
      <w:r w:rsidR="00EE6AE6">
        <w:t>,</w:t>
      </w:r>
      <w:r>
        <w:t xml:space="preserve"> historien des livres et de leur lecture au </w:t>
      </w:r>
      <w:proofErr w:type="spellStart"/>
      <w:r w:rsidR="007D3295" w:rsidRPr="007D3295">
        <w:rPr>
          <w:smallCaps/>
        </w:rPr>
        <w:t>xvi</w:t>
      </w:r>
      <w:r w:rsidRPr="007D3295">
        <w:rPr>
          <w:vertAlign w:val="superscript"/>
        </w:rPr>
        <w:t>e</w:t>
      </w:r>
      <w:proofErr w:type="spellEnd"/>
      <w:r>
        <w:t xml:space="preserve"> siècle, est décédé le 6 juin 2020 à l’âge de quatre-vingt six ans. Le flot de ses publications s’était tari depuis quelques années, et nous le savions confié à l’attention d</w:t>
      </w:r>
      <w:r w:rsidR="008334B0">
        <w:t>e soignants</w:t>
      </w:r>
      <w:r>
        <w:t xml:space="preserve"> et à l’affection de ses filles. </w:t>
      </w:r>
      <w:r w:rsidR="00FD4D15">
        <w:t>La</w:t>
      </w:r>
      <w:r w:rsidR="00910BF7">
        <w:t xml:space="preserve"> génération, déjà bien décimée, de bibliothécaires, d’enseignants et de chercheurs qui ont fait corps autour de lui et de ses travaux depuis les années 1960 entre </w:t>
      </w:r>
      <w:r w:rsidR="00482709">
        <w:t xml:space="preserve">donc </w:t>
      </w:r>
      <w:r w:rsidR="00910BF7">
        <w:t>dans le temps</w:t>
      </w:r>
      <w:r w:rsidR="008334B0">
        <w:t xml:space="preserve"> de la mémoire et de la reconnaissance. </w:t>
      </w:r>
      <w:r w:rsidR="00910BF7">
        <w:t xml:space="preserve">S’y joindront les lectrices et lecteurs </w:t>
      </w:r>
      <w:r>
        <w:t>d’</w:t>
      </w:r>
      <w:r w:rsidR="00910BF7">
        <w:t>ouvrages</w:t>
      </w:r>
      <w:r>
        <w:t xml:space="preserve"> sur le </w:t>
      </w:r>
      <w:proofErr w:type="spellStart"/>
      <w:r w:rsidR="007D3295" w:rsidRPr="007D3295">
        <w:rPr>
          <w:smallCaps/>
        </w:rPr>
        <w:t>xvi</w:t>
      </w:r>
      <w:r w:rsidR="007D3295" w:rsidRPr="007D3295">
        <w:rPr>
          <w:vertAlign w:val="superscript"/>
        </w:rPr>
        <w:t>e</w:t>
      </w:r>
      <w:proofErr w:type="spellEnd"/>
      <w:r w:rsidR="007D3295">
        <w:t xml:space="preserve"> siècle </w:t>
      </w:r>
      <w:r>
        <w:t xml:space="preserve">et le temps des </w:t>
      </w:r>
      <w:r w:rsidR="00EE6AE6">
        <w:t>R</w:t>
      </w:r>
      <w:r>
        <w:t xml:space="preserve">éformes </w:t>
      </w:r>
      <w:r w:rsidR="00910BF7">
        <w:t xml:space="preserve">dont la rédaction doit souvent </w:t>
      </w:r>
      <w:r w:rsidR="00EE6AE6">
        <w:t>beaucoup</w:t>
      </w:r>
      <w:r w:rsidR="00910BF7">
        <w:t xml:space="preserve"> aux travaux </w:t>
      </w:r>
      <w:r>
        <w:t>de notre ami et collègue.</w:t>
      </w:r>
      <w:r w:rsidR="008334B0">
        <w:t xml:space="preserve"> </w:t>
      </w:r>
    </w:p>
    <w:p w14:paraId="09B9FF50" w14:textId="77777777" w:rsidR="00EE6AE6" w:rsidRDefault="00EE6AE6" w:rsidP="007D3295">
      <w:pPr>
        <w:spacing w:line="360" w:lineRule="auto"/>
        <w:ind w:firstLine="567"/>
        <w:jc w:val="both"/>
      </w:pPr>
      <w:r>
        <w:t>J.-F. Gilmont a</w:t>
      </w:r>
      <w:r w:rsidR="00910BF7">
        <w:t xml:space="preserve"> pass</w:t>
      </w:r>
      <w:r>
        <w:t>é</w:t>
      </w:r>
      <w:r w:rsidR="00910BF7">
        <w:t xml:space="preserve"> </w:t>
      </w:r>
      <w:r>
        <w:t xml:space="preserve">quelques années </w:t>
      </w:r>
      <w:r w:rsidR="00910BF7">
        <w:t>au sein de la Compagnie de Jésus</w:t>
      </w:r>
      <w:r>
        <w:t xml:space="preserve"> : il y acquit une formation de philosophe et historien et publia </w:t>
      </w:r>
      <w:r w:rsidR="00700C2B">
        <w:t xml:space="preserve">alors </w:t>
      </w:r>
      <w:r>
        <w:t xml:space="preserve">trois premiers travaux bibliographiques dont, en collaboration avec Paul Daman, une </w:t>
      </w:r>
      <w:r>
        <w:rPr>
          <w:i/>
        </w:rPr>
        <w:t>Bibliographie ignatienne (1894-1957)</w:t>
      </w:r>
      <w:r>
        <w:t xml:space="preserve">. </w:t>
      </w:r>
      <w:r w:rsidR="00482709">
        <w:t xml:space="preserve">J.-F. Gilmont </w:t>
      </w:r>
      <w:r>
        <w:t xml:space="preserve">« habita » ensuite </w:t>
      </w:r>
      <w:r w:rsidR="00482709">
        <w:t>l’</w:t>
      </w:r>
      <w:r w:rsidR="00910BF7">
        <w:t>Un</w:t>
      </w:r>
      <w:r w:rsidR="00482709">
        <w:t>iversité catholique de Louvain-la</w:t>
      </w:r>
      <w:r w:rsidR="00FD4D15">
        <w:t>-</w:t>
      </w:r>
      <w:r w:rsidR="00482709">
        <w:t>Neuve</w:t>
      </w:r>
      <w:r>
        <w:t xml:space="preserve">, jusqu’à y devenir </w:t>
      </w:r>
      <w:r w:rsidR="00482709">
        <w:t>Conservateur à la Bibliothèque générale et de Sciences humaines, en même temps qu’il y assuma des tâches d’enseignement. Il y parvint à l’éméritat, six ans avant d’être élu membre de la Classe des Lettre</w:t>
      </w:r>
      <w:r>
        <w:t>s</w:t>
      </w:r>
      <w:r w:rsidR="00482709">
        <w:t xml:space="preserve"> de l’Académie Royale des Sciences, des Lettres et des Beaux-Arts de </w:t>
      </w:r>
      <w:r w:rsidR="00FD4D15">
        <w:t>Belgique.</w:t>
      </w:r>
      <w:r w:rsidR="00482709">
        <w:t xml:space="preserve"> </w:t>
      </w:r>
      <w:r w:rsidR="00FD4D15">
        <w:t>D’autres ont déjà rappelé ce</w:t>
      </w:r>
      <w:r w:rsidR="00482709">
        <w:t xml:space="preserve"> </w:t>
      </w:r>
      <w:r w:rsidR="00D4347A">
        <w:t xml:space="preserve">long </w:t>
      </w:r>
      <w:r w:rsidR="00482709">
        <w:rPr>
          <w:i/>
        </w:rPr>
        <w:t>cursus honorum</w:t>
      </w:r>
      <w:r w:rsidR="00D4347A">
        <w:t xml:space="preserve">. </w:t>
      </w:r>
    </w:p>
    <w:p w14:paraId="3F845C9B" w14:textId="77777777" w:rsidR="00FD4D15" w:rsidRDefault="00482709" w:rsidP="007D3295">
      <w:pPr>
        <w:spacing w:line="360" w:lineRule="auto"/>
        <w:ind w:firstLine="567"/>
        <w:jc w:val="both"/>
      </w:pPr>
      <w:r>
        <w:t>La haute stature, l’élocution posée de J.-F. Gilmont, son sourire</w:t>
      </w:r>
      <w:r w:rsidR="00FD4D15">
        <w:t xml:space="preserve">, bienveillant ou ironique </w:t>
      </w:r>
      <w:r w:rsidR="004745AA">
        <w:t>–</w:t>
      </w:r>
      <w:r w:rsidR="00FD4D15">
        <w:t xml:space="preserve"> voire</w:t>
      </w:r>
      <w:r>
        <w:t xml:space="preserve"> parfois sarcastique</w:t>
      </w:r>
      <w:r w:rsidR="00A844B0">
        <w:t xml:space="preserve"> ! – étaient connus </w:t>
      </w:r>
      <w:r w:rsidR="00FD4D15">
        <w:t>dans bien</w:t>
      </w:r>
      <w:r w:rsidR="00A844B0">
        <w:t xml:space="preserve"> des biblioth</w:t>
      </w:r>
      <w:r w:rsidR="00FD4D15">
        <w:t>èques européennes et américaines. Il s’y rendait en invité ou en « découvreur », longtemps accompagné par son épouse, Martine Jacob</w:t>
      </w:r>
      <w:r w:rsidR="00DF6E0F">
        <w:t>s</w:t>
      </w:r>
      <w:r w:rsidR="00FD4D15">
        <w:t xml:space="preserve"> qui</w:t>
      </w:r>
      <w:r w:rsidR="00EE6AE6">
        <w:t>,</w:t>
      </w:r>
      <w:r w:rsidR="00FD4D15">
        <w:t xml:space="preserve"> ajouta</w:t>
      </w:r>
      <w:r w:rsidR="00EE6AE6">
        <w:t>nt à ses charges</w:t>
      </w:r>
      <w:r w:rsidR="00FD4D15">
        <w:t xml:space="preserve"> au sein de la Bibliothèque royale de </w:t>
      </w:r>
      <w:r w:rsidR="00EE6AE6">
        <w:t>Belgique, participait aux recherches de son mari.</w:t>
      </w:r>
    </w:p>
    <w:p w14:paraId="53E17728" w14:textId="77777777" w:rsidR="00EE6AE6" w:rsidRDefault="00EE6AE6" w:rsidP="007D3295">
      <w:pPr>
        <w:spacing w:line="360" w:lineRule="auto"/>
        <w:ind w:firstLine="567"/>
        <w:jc w:val="both"/>
      </w:pPr>
    </w:p>
    <w:p w14:paraId="0BA51300" w14:textId="77777777" w:rsidR="00936B70" w:rsidRDefault="00FD4D15" w:rsidP="007D3295">
      <w:pPr>
        <w:spacing w:line="360" w:lineRule="auto"/>
        <w:ind w:firstLine="567"/>
        <w:jc w:val="both"/>
      </w:pPr>
      <w:r>
        <w:t xml:space="preserve">La liste la plus accessible des travaux de J.-F. Gilmont </w:t>
      </w:r>
      <w:r w:rsidR="00515E9C">
        <w:t>figure dans</w:t>
      </w:r>
      <w:r>
        <w:t xml:space="preserve"> la base de données</w:t>
      </w:r>
      <w:r w:rsidR="004745AA">
        <w:t xml:space="preserve"> </w:t>
      </w:r>
      <w:r>
        <w:t>bibliographiques du « GNL 15-16</w:t>
      </w:r>
      <w:r w:rsidR="00891F63">
        <w:t> »,</w:t>
      </w:r>
      <w:r w:rsidR="004745AA">
        <w:t xml:space="preserve"> </w:t>
      </w:r>
      <w:r w:rsidR="0020212B">
        <w:t>sur le site de la Bibliothèque de Genève (http://www.ville-ge.ch/bge/gln)</w:t>
      </w:r>
      <w:r w:rsidR="00515E9C">
        <w:t xml:space="preserve"> – un </w:t>
      </w:r>
      <w:r w:rsidR="00891F63">
        <w:t>inventaire</w:t>
      </w:r>
      <w:r w:rsidR="00515E9C">
        <w:t xml:space="preserve"> repris sous forme d</w:t>
      </w:r>
      <w:r w:rsidR="00325B19">
        <w:t>’un</w:t>
      </w:r>
      <w:r w:rsidR="00515E9C">
        <w:t xml:space="preserve"> livre qui </w:t>
      </w:r>
      <w:r w:rsidR="00700C2B">
        <w:t>permet</w:t>
      </w:r>
      <w:r w:rsidR="00515E9C">
        <w:t xml:space="preserve"> d’autres </w:t>
      </w:r>
      <w:r w:rsidR="00325B19">
        <w:t>modes</w:t>
      </w:r>
      <w:r w:rsidR="00515E9C">
        <w:t xml:space="preserve"> de consultation</w:t>
      </w:r>
      <w:r w:rsidR="00891F63">
        <w:t> :</w:t>
      </w:r>
      <w:r w:rsidR="00515E9C">
        <w:t xml:space="preserve"> </w:t>
      </w:r>
      <w:r w:rsidR="00515E9C">
        <w:rPr>
          <w:i/>
        </w:rPr>
        <w:t xml:space="preserve">GNL 15-16. Les éditions imprimées à Genève, Lausanne et Neuchâtel </w:t>
      </w:r>
      <w:r w:rsidR="00515E9C">
        <w:t xml:space="preserve">[GNL !!] </w:t>
      </w:r>
      <w:r w:rsidR="00515E9C" w:rsidRPr="00515E9C">
        <w:rPr>
          <w:i/>
        </w:rPr>
        <w:t xml:space="preserve">aux </w:t>
      </w:r>
      <w:proofErr w:type="spellStart"/>
      <w:r w:rsidR="004745AA" w:rsidRPr="004745AA">
        <w:rPr>
          <w:i/>
          <w:smallCaps/>
        </w:rPr>
        <w:t>xv</w:t>
      </w:r>
      <w:r w:rsidR="00515E9C" w:rsidRPr="004745AA">
        <w:rPr>
          <w:i/>
          <w:vertAlign w:val="superscript"/>
        </w:rPr>
        <w:t>e</w:t>
      </w:r>
      <w:proofErr w:type="spellEnd"/>
      <w:r w:rsidR="00515E9C" w:rsidRPr="00515E9C">
        <w:rPr>
          <w:i/>
        </w:rPr>
        <w:t xml:space="preserve"> </w:t>
      </w:r>
      <w:r w:rsidR="00515E9C">
        <w:rPr>
          <w:i/>
        </w:rPr>
        <w:t>e</w:t>
      </w:r>
      <w:r w:rsidR="00515E9C" w:rsidRPr="00515E9C">
        <w:rPr>
          <w:i/>
        </w:rPr>
        <w:t xml:space="preserve">t </w:t>
      </w:r>
      <w:proofErr w:type="spellStart"/>
      <w:r w:rsidR="004745AA" w:rsidRPr="004745AA">
        <w:rPr>
          <w:i/>
          <w:smallCaps/>
        </w:rPr>
        <w:t>xvi</w:t>
      </w:r>
      <w:r w:rsidR="00515E9C" w:rsidRPr="004745AA">
        <w:rPr>
          <w:i/>
          <w:vertAlign w:val="superscript"/>
        </w:rPr>
        <w:t>e</w:t>
      </w:r>
      <w:proofErr w:type="spellEnd"/>
      <w:r w:rsidR="00515E9C">
        <w:t xml:space="preserve"> </w:t>
      </w:r>
      <w:r w:rsidR="00515E9C" w:rsidRPr="00515E9C">
        <w:rPr>
          <w:i/>
        </w:rPr>
        <w:t>siècles</w:t>
      </w:r>
      <w:r w:rsidR="00515E9C">
        <w:t>, Genève</w:t>
      </w:r>
      <w:r w:rsidR="004745AA">
        <w:t> :</w:t>
      </w:r>
      <w:r w:rsidR="00515E9C">
        <w:t xml:space="preserve"> Droz, 2015. </w:t>
      </w:r>
      <w:r w:rsidR="004745AA">
        <w:t>À</w:t>
      </w:r>
      <w:r w:rsidR="00891F63">
        <w:t xml:space="preserve"> les consulter, on voit que J.-F. Gilmont a très tôt privilégié – mais non exclusivement </w:t>
      </w:r>
      <w:r w:rsidR="004745AA">
        <w:t>–</w:t>
      </w:r>
      <w:r w:rsidR="00891F63">
        <w:t xml:space="preserve"> l’étude des imprimeurs, éditeurs, auteurs, réformés francophones : ses livres sur Jean Crespin sont </w:t>
      </w:r>
      <w:r w:rsidR="00700C2B">
        <w:t xml:space="preserve">en effet </w:t>
      </w:r>
      <w:r w:rsidR="00891F63">
        <w:t xml:space="preserve">édités en 1981. </w:t>
      </w:r>
    </w:p>
    <w:p w14:paraId="56D695D4" w14:textId="77777777" w:rsidR="00936B70" w:rsidRPr="00C96A67" w:rsidRDefault="00936B70" w:rsidP="007D3295">
      <w:pPr>
        <w:spacing w:line="360" w:lineRule="auto"/>
        <w:ind w:firstLine="567"/>
        <w:jc w:val="both"/>
      </w:pPr>
      <w:r>
        <w:lastRenderedPageBreak/>
        <w:t xml:space="preserve">L’horizon helvétique que circonscrit le titre du </w:t>
      </w:r>
      <w:r w:rsidRPr="00936B70">
        <w:rPr>
          <w:i/>
        </w:rPr>
        <w:t>GNL</w:t>
      </w:r>
      <w:r>
        <w:t xml:space="preserve"> ne </w:t>
      </w:r>
      <w:r w:rsidR="00891F63">
        <w:t>doit cependant pas induire en erreur</w:t>
      </w:r>
      <w:r>
        <w:t xml:space="preserve">. </w:t>
      </w:r>
      <w:r w:rsidR="00891F63">
        <w:t>J.-F. Gilmont</w:t>
      </w:r>
      <w:r>
        <w:t xml:space="preserve"> n’a en effet jamais cessé de situer ses travaux sur l’horizon le plus large de l’histoire du livre et de la lecture</w:t>
      </w:r>
      <w:r w:rsidR="00891F63">
        <w:t xml:space="preserve"> en Europe</w:t>
      </w:r>
      <w:r>
        <w:t xml:space="preserve">, qu’il s’agisse de l’évolution des « techniques » </w:t>
      </w:r>
      <w:r w:rsidR="00891F63">
        <w:t>ou</w:t>
      </w:r>
      <w:r>
        <w:t xml:space="preserve"> d</w:t>
      </w:r>
      <w:r w:rsidR="00891F63">
        <w:t xml:space="preserve">e </w:t>
      </w:r>
      <w:r w:rsidR="00700C2B">
        <w:t xml:space="preserve">celle </w:t>
      </w:r>
      <w:r w:rsidR="00891F63">
        <w:t>des</w:t>
      </w:r>
      <w:r>
        <w:t xml:space="preserve"> pratiques culturelles. L’attestent : </w:t>
      </w:r>
      <w:r>
        <w:rPr>
          <w:i/>
        </w:rPr>
        <w:t>La Réforme et le Livre. L’Europe de l’imprimé (1517-v. 1570)</w:t>
      </w:r>
      <w:r>
        <w:t>, Pa</w:t>
      </w:r>
      <w:r w:rsidR="00891F63">
        <w:t>r</w:t>
      </w:r>
      <w:r>
        <w:t>is, 1990 ; la 4</w:t>
      </w:r>
      <w:r w:rsidRPr="00936B70">
        <w:rPr>
          <w:vertAlign w:val="superscript"/>
        </w:rPr>
        <w:t>e</w:t>
      </w:r>
      <w:r>
        <w:t xml:space="preserve"> édition</w:t>
      </w:r>
      <w:r w:rsidR="004745AA">
        <w:t xml:space="preserve"> </w:t>
      </w:r>
      <w:r>
        <w:t>d</w:t>
      </w:r>
      <w:r w:rsidR="00891F63">
        <w:t xml:space="preserve">’une </w:t>
      </w:r>
      <w:r w:rsidRPr="00C96A67">
        <w:rPr>
          <w:i/>
        </w:rPr>
        <w:t>Introduction à l’histoire du livre et de la lecture : du manuscrit à l’ère électronique,</w:t>
      </w:r>
      <w:r>
        <w:t xml:space="preserve"> Liège, 2004 ;</w:t>
      </w:r>
      <w:r w:rsidR="00C96A67">
        <w:t xml:space="preserve"> ou encore le si précieux recueil de ses articles, </w:t>
      </w:r>
      <w:r w:rsidR="00C96A67">
        <w:rPr>
          <w:i/>
        </w:rPr>
        <w:t>Le livre et ses secrets</w:t>
      </w:r>
      <w:r w:rsidR="00C96A67">
        <w:t xml:space="preserve">, publié à Genève et à Louvain-la-Neuve en 2003, </w:t>
      </w:r>
      <w:r w:rsidR="00891F63">
        <w:t>enrichi de</w:t>
      </w:r>
      <w:r w:rsidR="00C96A67">
        <w:t xml:space="preserve"> préfaces de F. </w:t>
      </w:r>
      <w:proofErr w:type="spellStart"/>
      <w:r w:rsidR="00C96A67">
        <w:t>Higman</w:t>
      </w:r>
      <w:proofErr w:type="spellEnd"/>
      <w:r w:rsidR="00C96A67">
        <w:t xml:space="preserve"> et </w:t>
      </w:r>
      <w:r w:rsidR="004745AA">
        <w:t xml:space="preserve">de </w:t>
      </w:r>
      <w:r w:rsidR="00C96A67">
        <w:t xml:space="preserve">Mme M. </w:t>
      </w:r>
      <w:proofErr w:type="spellStart"/>
      <w:r w:rsidR="00C96A67">
        <w:t>Mund-Dopchie</w:t>
      </w:r>
      <w:proofErr w:type="spellEnd"/>
      <w:r w:rsidR="00C96A67">
        <w:t>, ses interlocuteurs pendant tant de belles années.</w:t>
      </w:r>
    </w:p>
    <w:p w14:paraId="013ED404" w14:textId="77777777" w:rsidR="00891F63" w:rsidRDefault="00891F63" w:rsidP="007D3295">
      <w:pPr>
        <w:spacing w:line="360" w:lineRule="auto"/>
        <w:ind w:firstLine="567"/>
        <w:jc w:val="both"/>
      </w:pPr>
    </w:p>
    <w:p w14:paraId="62584371" w14:textId="77777777" w:rsidR="00335630" w:rsidRDefault="00C96A67" w:rsidP="007D3295">
      <w:pPr>
        <w:spacing w:line="360" w:lineRule="auto"/>
        <w:ind w:firstLine="567"/>
        <w:jc w:val="both"/>
      </w:pPr>
      <w:r>
        <w:t>La</w:t>
      </w:r>
      <w:r w:rsidR="007773EF">
        <w:t xml:space="preserve"> double édition</w:t>
      </w:r>
      <w:r>
        <w:t xml:space="preserve"> du </w:t>
      </w:r>
      <w:r w:rsidRPr="00C96A67">
        <w:rPr>
          <w:i/>
        </w:rPr>
        <w:t>GNL</w:t>
      </w:r>
      <w:r w:rsidR="007773EF">
        <w:t xml:space="preserve"> –</w:t>
      </w:r>
      <w:r w:rsidR="004745AA">
        <w:t xml:space="preserve"> </w:t>
      </w:r>
      <w:r w:rsidR="007773EF">
        <w:t>numérisée et « papier »</w:t>
      </w:r>
      <w:r w:rsidR="004745AA">
        <w:t xml:space="preserve"> –</w:t>
      </w:r>
      <w:r w:rsidR="007773EF">
        <w:t xml:space="preserve"> </w:t>
      </w:r>
      <w:r w:rsidR="00891F63">
        <w:t>rappelle</w:t>
      </w:r>
      <w:r w:rsidR="007773EF">
        <w:t xml:space="preserve"> que Gilmont a maîtrisé très tôt les possibilités ouvertes par l’usage des ordinateurs, en même temps qu’il </w:t>
      </w:r>
      <w:r>
        <w:t>est resté vigilant à l’égard de l’essor</w:t>
      </w:r>
      <w:r w:rsidR="007773EF">
        <w:t xml:space="preserve"> des « humanités numériques »</w:t>
      </w:r>
      <w:r>
        <w:t xml:space="preserve"> et des apparentes facilités offertes par la numérisation de fonds entiers.</w:t>
      </w:r>
      <w:r w:rsidR="00061954">
        <w:t xml:space="preserve"> Il était </w:t>
      </w:r>
      <w:r w:rsidR="00891F63">
        <w:t xml:space="preserve">certes </w:t>
      </w:r>
      <w:r w:rsidR="00061954">
        <w:t>devenu un « maître » en matière de « bibliographie matérielle</w:t>
      </w:r>
      <w:r w:rsidR="00A3008F">
        <w:t xml:space="preserve"> », une discipline « dure » à laquelle on doit des notices parfois difficilement lisibles, </w:t>
      </w:r>
      <w:r w:rsidR="00891F63">
        <w:t>et qui va bien de pair avec</w:t>
      </w:r>
      <w:r w:rsidR="00115ECB">
        <w:t xml:space="preserve"> </w:t>
      </w:r>
      <w:r w:rsidR="00891F63">
        <w:t>l’informatique</w:t>
      </w:r>
      <w:r w:rsidR="00115ECB">
        <w:t>. Cependant,</w:t>
      </w:r>
      <w:r w:rsidR="00A3008F">
        <w:t xml:space="preserve"> après des débats </w:t>
      </w:r>
      <w:r w:rsidR="00115ECB">
        <w:t>partagés avec ses proches amis et collègues</w:t>
      </w:r>
      <w:r w:rsidR="00A3008F">
        <w:t xml:space="preserve">, il </w:t>
      </w:r>
      <w:r w:rsidR="00115ECB">
        <w:t>en vint à s’identifier</w:t>
      </w:r>
      <w:r w:rsidR="00A3008F">
        <w:t xml:space="preserve"> comme un</w:t>
      </w:r>
      <w:r w:rsidR="008334B0">
        <w:t xml:space="preserve"> « archéologue du livre et de la lecture »</w:t>
      </w:r>
      <w:r w:rsidR="00A3008F">
        <w:t>, attentif de façon quasi-exhaustive aux conditions matérielles et intellectuelles de production des livres</w:t>
      </w:r>
      <w:r w:rsidR="00115ECB">
        <w:t xml:space="preserve">, à leur environnement </w:t>
      </w:r>
      <w:r w:rsidR="00A3008F">
        <w:t>et à leurs usages.</w:t>
      </w:r>
      <w:r w:rsidR="008334B0">
        <w:t xml:space="preserve"> </w:t>
      </w:r>
      <w:r w:rsidR="00A3008F">
        <w:t xml:space="preserve">Il </w:t>
      </w:r>
      <w:r w:rsidR="00115ECB">
        <w:t xml:space="preserve">était comme un virtuose </w:t>
      </w:r>
      <w:r w:rsidR="004745AA">
        <w:t>–</w:t>
      </w:r>
      <w:r w:rsidR="00A3008F">
        <w:t xml:space="preserve"> nombre de ses articles en témoignent</w:t>
      </w:r>
      <w:r w:rsidR="00115ECB">
        <w:t xml:space="preserve"> </w:t>
      </w:r>
      <w:r w:rsidR="004745AA">
        <w:t>–</w:t>
      </w:r>
      <w:r w:rsidR="00A3008F">
        <w:t xml:space="preserve"> </w:t>
      </w:r>
      <w:r w:rsidR="00115ECB">
        <w:t>pour</w:t>
      </w:r>
      <w:r w:rsidR="00A3008F">
        <w:t xml:space="preserve"> décrire et analyser l</w:t>
      </w:r>
      <w:r w:rsidR="008334B0">
        <w:t xml:space="preserve">es gestes, </w:t>
      </w:r>
      <w:r w:rsidR="00A3008F">
        <w:t>les outils et les</w:t>
      </w:r>
      <w:r w:rsidR="008334B0">
        <w:t xml:space="preserve"> pratiques </w:t>
      </w:r>
      <w:r w:rsidR="00A3008F">
        <w:t xml:space="preserve">mis en </w:t>
      </w:r>
      <w:r w:rsidR="004745AA">
        <w:t>œ</w:t>
      </w:r>
      <w:r w:rsidR="00A3008F">
        <w:t>uvre</w:t>
      </w:r>
      <w:r w:rsidR="008334B0">
        <w:t xml:space="preserve"> entre la première dictée ou écriture </w:t>
      </w:r>
      <w:r w:rsidR="00115ECB">
        <w:t xml:space="preserve">d’un texte </w:t>
      </w:r>
      <w:r w:rsidR="008334B0">
        <w:t>par un auteur et</w:t>
      </w:r>
      <w:r w:rsidR="00115ECB">
        <w:t>, au terme de multiples étapes,</w:t>
      </w:r>
      <w:r w:rsidR="008334B0">
        <w:t xml:space="preserve"> l’ouverture d’un livre éventuellement relié par son acquéreur en vue d’une lecture personnelle ou partagée. </w:t>
      </w:r>
      <w:r w:rsidR="00A3008F">
        <w:t>Il était</w:t>
      </w:r>
      <w:r w:rsidR="00335630">
        <w:t xml:space="preserve"> </w:t>
      </w:r>
      <w:proofErr w:type="gramStart"/>
      <w:r w:rsidR="00335630">
        <w:t>un fin connaisseur</w:t>
      </w:r>
      <w:proofErr w:type="gramEnd"/>
      <w:r w:rsidR="00335630">
        <w:t xml:space="preserve"> des imprimeurs du </w:t>
      </w:r>
      <w:proofErr w:type="spellStart"/>
      <w:r w:rsidR="007A0A17" w:rsidRPr="007D3295">
        <w:rPr>
          <w:smallCaps/>
        </w:rPr>
        <w:t>xvi</w:t>
      </w:r>
      <w:r w:rsidR="007A0A17" w:rsidRPr="007D3295">
        <w:rPr>
          <w:vertAlign w:val="superscript"/>
        </w:rPr>
        <w:t>e</w:t>
      </w:r>
      <w:proofErr w:type="spellEnd"/>
      <w:r w:rsidR="007A0A17">
        <w:t xml:space="preserve"> siècle</w:t>
      </w:r>
      <w:r w:rsidR="00335630">
        <w:t>, de l’organisation technique, sociale et financière de leurs ateliers, et des motifs qui les conduisaient au choix des</w:t>
      </w:r>
      <w:r w:rsidR="008334B0">
        <w:t xml:space="preserve"> support</w:t>
      </w:r>
      <w:r w:rsidR="00335630">
        <w:t>s du texte, des caractères et des formats, d</w:t>
      </w:r>
      <w:r w:rsidR="007028C3">
        <w:t>e</w:t>
      </w:r>
      <w:r w:rsidR="00335630">
        <w:t>s mises en page</w:t>
      </w:r>
      <w:r w:rsidR="00115ECB">
        <w:t>,</w:t>
      </w:r>
      <w:r w:rsidR="00335630">
        <w:t xml:space="preserve"> d</w:t>
      </w:r>
      <w:r w:rsidR="007028C3">
        <w:t>e</w:t>
      </w:r>
      <w:r w:rsidR="00335630">
        <w:t xml:space="preserve"> l’adjonction de pièces annexes</w:t>
      </w:r>
      <w:r w:rsidR="00A3008F">
        <w:t>, des conditions financières et juridiques de diffusion des imprimés.</w:t>
      </w:r>
      <w:r w:rsidR="00335630" w:rsidRPr="00335630">
        <w:t xml:space="preserve"> </w:t>
      </w:r>
      <w:r w:rsidR="00A20209">
        <w:t>Attentif aux motifs et objectifs de tous ceux qu’il identifiait comme autant de parties prenantes à une édition</w:t>
      </w:r>
      <w:r w:rsidR="00115ECB">
        <w:t xml:space="preserve">, J.-F. Gilmont a construit une </w:t>
      </w:r>
      <w:r w:rsidR="007028C3">
        <w:t>œ</w:t>
      </w:r>
      <w:r w:rsidR="00115ECB">
        <w:t>uvre</w:t>
      </w:r>
      <w:r w:rsidR="00A20209">
        <w:t xml:space="preserve"> or</w:t>
      </w:r>
      <w:r w:rsidR="00335630">
        <w:t>iginal</w:t>
      </w:r>
      <w:r w:rsidR="00A3008F">
        <w:t>e</w:t>
      </w:r>
      <w:r w:rsidR="00335630">
        <w:t xml:space="preserve"> et </w:t>
      </w:r>
      <w:r w:rsidR="00A3008F">
        <w:t>fondatrice.</w:t>
      </w:r>
    </w:p>
    <w:p w14:paraId="6F202369" w14:textId="77777777" w:rsidR="00A3008F" w:rsidRDefault="00A3008F" w:rsidP="007D3295">
      <w:pPr>
        <w:spacing w:line="360" w:lineRule="auto"/>
        <w:ind w:firstLine="567"/>
        <w:jc w:val="both"/>
      </w:pPr>
    </w:p>
    <w:p w14:paraId="3EFB64E3" w14:textId="77777777" w:rsidR="008B0F0F" w:rsidRDefault="00A20209" w:rsidP="007D3295">
      <w:pPr>
        <w:spacing w:line="360" w:lineRule="auto"/>
        <w:ind w:firstLine="567"/>
        <w:jc w:val="both"/>
      </w:pPr>
      <w:r>
        <w:t>Ainsi J.-F.</w:t>
      </w:r>
      <w:r w:rsidR="00A3008F">
        <w:t xml:space="preserve"> </w:t>
      </w:r>
      <w:r w:rsidR="00DE3EE4">
        <w:t>Gilmont a</w:t>
      </w:r>
      <w:r w:rsidR="00115ECB">
        <w:t>-t-il</w:t>
      </w:r>
      <w:r w:rsidR="00DE3EE4">
        <w:t xml:space="preserve"> contribué à </w:t>
      </w:r>
      <w:r w:rsidR="00115ECB">
        <w:t>introduire</w:t>
      </w:r>
      <w:r w:rsidR="00DE3EE4">
        <w:t xml:space="preserve"> la</w:t>
      </w:r>
      <w:r w:rsidR="00A3008F">
        <w:t xml:space="preserve"> « bibliographie »</w:t>
      </w:r>
      <w:r w:rsidR="00DE3EE4">
        <w:t xml:space="preserve"> </w:t>
      </w:r>
      <w:r>
        <w:t>au rang des « sciences humaines », alors qu’au temps de</w:t>
      </w:r>
      <w:r w:rsidR="00DE3EE4">
        <w:t xml:space="preserve"> nos apprentissages et de nos premiers </w:t>
      </w:r>
      <w:r>
        <w:t>enseignements</w:t>
      </w:r>
      <w:r w:rsidR="00115ECB">
        <w:t xml:space="preserve"> – dans les années 1960 </w:t>
      </w:r>
      <w:r w:rsidR="0001737D">
        <w:t>–</w:t>
      </w:r>
      <w:r>
        <w:t xml:space="preserve"> elle était</w:t>
      </w:r>
      <w:r w:rsidR="00115ECB">
        <w:t xml:space="preserve"> </w:t>
      </w:r>
      <w:r>
        <w:t xml:space="preserve">une </w:t>
      </w:r>
      <w:r w:rsidR="00115ECB">
        <w:t>« </w:t>
      </w:r>
      <w:r>
        <w:t>discipline annexe</w:t>
      </w:r>
      <w:r w:rsidR="00115ECB">
        <w:t> »</w:t>
      </w:r>
      <w:r>
        <w:t>.</w:t>
      </w:r>
      <w:r w:rsidR="00DE3EE4">
        <w:t xml:space="preserve"> Une « science » </w:t>
      </w:r>
      <w:r>
        <w:t xml:space="preserve">donc, </w:t>
      </w:r>
      <w:r w:rsidR="00700C2B">
        <w:t xml:space="preserve">répondant </w:t>
      </w:r>
      <w:r w:rsidR="00115ECB">
        <w:t xml:space="preserve">à des </w:t>
      </w:r>
      <w:r w:rsidR="00DE3EE4">
        <w:lastRenderedPageBreak/>
        <w:t xml:space="preserve">exigences et des règles sur lesquelles </w:t>
      </w:r>
      <w:r w:rsidR="00115ECB">
        <w:t>J.-F. Gilmont</w:t>
      </w:r>
      <w:r w:rsidR="00DE3EE4">
        <w:t xml:space="preserve"> ne transigeait</w:t>
      </w:r>
      <w:r>
        <w:t xml:space="preserve"> pas ;</w:t>
      </w:r>
      <w:r w:rsidR="00DE3EE4">
        <w:t xml:space="preserve"> « humaine » car il y était question d’hommes et de femmes, de leur m</w:t>
      </w:r>
      <w:r>
        <w:t>é</w:t>
      </w:r>
      <w:r w:rsidR="00DE3EE4">
        <w:t xml:space="preserve">tier, de leurs passions et </w:t>
      </w:r>
      <w:r w:rsidR="00115ECB">
        <w:t xml:space="preserve">de leurs </w:t>
      </w:r>
      <w:r w:rsidR="00DE3EE4">
        <w:t xml:space="preserve">croyances, de leur </w:t>
      </w:r>
      <w:r w:rsidR="00115ECB">
        <w:t>vie sociale</w:t>
      </w:r>
      <w:r w:rsidR="00DE3EE4">
        <w:t xml:space="preserve">. </w:t>
      </w:r>
      <w:r w:rsidR="006415E7">
        <w:t>Il a convaincu nombre de ses lecteurs que</w:t>
      </w:r>
      <w:r w:rsidR="008B0F0F">
        <w:t xml:space="preserve"> la « matérialité » des livres étaient indissociable de l’environnement culturel dans lequel ils étaient conçus, fabriqués et diffusés</w:t>
      </w:r>
      <w:r w:rsidR="006415E7">
        <w:t xml:space="preserve">, </w:t>
      </w:r>
      <w:r w:rsidR="00700C2B">
        <w:t>et qu’elle contribuait à donne</w:t>
      </w:r>
      <w:r w:rsidR="006415E7">
        <w:t xml:space="preserve"> sens </w:t>
      </w:r>
      <w:r w:rsidR="00700C2B">
        <w:t>aux</w:t>
      </w:r>
      <w:r w:rsidR="006415E7">
        <w:t xml:space="preserve"> textes qui y étaient imprimés.</w:t>
      </w:r>
    </w:p>
    <w:p w14:paraId="4D5A281D" w14:textId="77777777" w:rsidR="00DE3EE4" w:rsidRDefault="00DE3EE4" w:rsidP="007D3295">
      <w:pPr>
        <w:spacing w:line="360" w:lineRule="auto"/>
        <w:ind w:firstLine="567"/>
        <w:jc w:val="both"/>
      </w:pPr>
      <w:r>
        <w:t xml:space="preserve">L’empathie, </w:t>
      </w:r>
      <w:r w:rsidR="006415E7">
        <w:t>et</w:t>
      </w:r>
      <w:r>
        <w:t xml:space="preserve"> la sympathie, qui le conduisirent à rédiger de belles pages biographiques</w:t>
      </w:r>
      <w:r w:rsidR="00A20209">
        <w:t xml:space="preserve"> et historiques </w:t>
      </w:r>
      <w:r w:rsidR="006415E7">
        <w:t xml:space="preserve">sur des auteurs « modernes » mais anciens (le </w:t>
      </w:r>
      <w:proofErr w:type="spellStart"/>
      <w:r w:rsidR="0001737D" w:rsidRPr="007D3295">
        <w:rPr>
          <w:smallCaps/>
        </w:rPr>
        <w:t>xvi</w:t>
      </w:r>
      <w:r w:rsidR="0001737D" w:rsidRPr="007D3295">
        <w:rPr>
          <w:vertAlign w:val="superscript"/>
        </w:rPr>
        <w:t>e</w:t>
      </w:r>
      <w:proofErr w:type="spellEnd"/>
      <w:r w:rsidR="0001737D">
        <w:t xml:space="preserve"> siècle </w:t>
      </w:r>
      <w:r w:rsidR="006415E7">
        <w:t xml:space="preserve">!), </w:t>
      </w:r>
      <w:r w:rsidR="00A20209">
        <w:t xml:space="preserve">en sus de notices plus strictement </w:t>
      </w:r>
      <w:r w:rsidR="006415E7">
        <w:t>descriptives des ouvrages,</w:t>
      </w:r>
      <w:r>
        <w:t xml:space="preserve"> étaient chevillées à la personnalité de J.-F. Gilmont</w:t>
      </w:r>
      <w:r w:rsidR="006415E7">
        <w:t>. Il voulait comprendre les gens du passé autant que ses contemporains.</w:t>
      </w:r>
      <w:r w:rsidR="004C7332">
        <w:t xml:space="preserve"> </w:t>
      </w:r>
      <w:r w:rsidR="006415E7">
        <w:t>C’est pourquoi il publia</w:t>
      </w:r>
      <w:r w:rsidR="004C7332">
        <w:t xml:space="preserve"> </w:t>
      </w:r>
      <w:r w:rsidR="004C7332">
        <w:rPr>
          <w:i/>
        </w:rPr>
        <w:t>Maître Abel ou l’imprimeur trompé</w:t>
      </w:r>
      <w:r w:rsidR="004C7332">
        <w:t xml:space="preserve">, une façon de roman « historique » </w:t>
      </w:r>
      <w:proofErr w:type="spellStart"/>
      <w:r w:rsidR="00E053BC">
        <w:t>re-</w:t>
      </w:r>
      <w:r w:rsidR="006415E7">
        <w:t>édité</w:t>
      </w:r>
      <w:proofErr w:type="spellEnd"/>
      <w:r w:rsidR="006415E7">
        <w:t xml:space="preserve"> pour la 2</w:t>
      </w:r>
      <w:r w:rsidR="006415E7" w:rsidRPr="006415E7">
        <w:rPr>
          <w:vertAlign w:val="superscript"/>
        </w:rPr>
        <w:t>e</w:t>
      </w:r>
      <w:r w:rsidR="006415E7">
        <w:t xml:space="preserve"> fois </w:t>
      </w:r>
      <w:r w:rsidR="004C7332">
        <w:t xml:space="preserve">en </w:t>
      </w:r>
      <w:r w:rsidR="006415E7">
        <w:t>2006</w:t>
      </w:r>
      <w:r w:rsidR="008B0F0F">
        <w:t xml:space="preserve">, et </w:t>
      </w:r>
      <w:r w:rsidR="006415E7">
        <w:t>qui est davantage</w:t>
      </w:r>
      <w:r w:rsidR="008B0F0F">
        <w:t xml:space="preserve"> qu’un </w:t>
      </w:r>
      <w:r w:rsidR="006415E7">
        <w:t xml:space="preserve">simple </w:t>
      </w:r>
      <w:r w:rsidR="008B0F0F">
        <w:t>jeu</w:t>
      </w:r>
      <w:r w:rsidR="00E053BC">
        <w:t xml:space="preserve"> d’écriture</w:t>
      </w:r>
      <w:r w:rsidR="004C7332">
        <w:t xml:space="preserve">. </w:t>
      </w:r>
      <w:r w:rsidR="006415E7">
        <w:t>C’est pourquoi encore, un</w:t>
      </w:r>
      <w:r w:rsidR="004C7332">
        <w:t xml:space="preserve"> soir de juillet 1978</w:t>
      </w:r>
      <w:r w:rsidR="0030512B">
        <w:t xml:space="preserve"> à Varsovie</w:t>
      </w:r>
      <w:r w:rsidR="004C7332">
        <w:t xml:space="preserve">, </w:t>
      </w:r>
      <w:r w:rsidR="006415E7">
        <w:t>il nous invita à quitter, dans le silence et la discrétion,</w:t>
      </w:r>
      <w:r w:rsidR="004C7332">
        <w:t xml:space="preserve"> une session de la </w:t>
      </w:r>
      <w:r w:rsidR="004C7332">
        <w:rPr>
          <w:i/>
        </w:rPr>
        <w:t>Commission d’Histoire ecclésiastique comparée</w:t>
      </w:r>
      <w:r w:rsidR="006415E7">
        <w:t xml:space="preserve"> pour aller rencontrer </w:t>
      </w:r>
      <w:r w:rsidR="0030512B">
        <w:t>des sympathisants du KOR</w:t>
      </w:r>
      <w:r w:rsidR="00FC67EF">
        <w:t xml:space="preserve"> (le Comité de Défense des ouvriers).</w:t>
      </w:r>
    </w:p>
    <w:p w14:paraId="16C1BD99" w14:textId="77777777" w:rsidR="00CE6E64" w:rsidRDefault="00CE6E64" w:rsidP="007D3295">
      <w:pPr>
        <w:spacing w:line="360" w:lineRule="auto"/>
        <w:ind w:firstLine="567"/>
        <w:jc w:val="both"/>
      </w:pPr>
    </w:p>
    <w:p w14:paraId="219360FD" w14:textId="77777777" w:rsidR="00CE6E64" w:rsidRDefault="00CE6E64" w:rsidP="007D3295">
      <w:pPr>
        <w:spacing w:line="360" w:lineRule="auto"/>
        <w:ind w:firstLine="567"/>
        <w:jc w:val="both"/>
      </w:pPr>
      <w:r>
        <w:t>S</w:t>
      </w:r>
      <w:r w:rsidR="00914972">
        <w:t xml:space="preserve">es qualités et </w:t>
      </w:r>
      <w:r>
        <w:t>l</w:t>
      </w:r>
      <w:r w:rsidR="00914972">
        <w:t>es valeur</w:t>
      </w:r>
      <w:r>
        <w:t>s</w:t>
      </w:r>
      <w:r w:rsidR="00914972">
        <w:t xml:space="preserve"> qui furent siennes </w:t>
      </w:r>
      <w:r>
        <w:t xml:space="preserve">sont présentes au cœur même des ouvrages de </w:t>
      </w:r>
      <w:r w:rsidR="00FC67EF">
        <w:t xml:space="preserve">J.-F. Gilmont. </w:t>
      </w:r>
      <w:r>
        <w:t>Ainsi parut en 1991,</w:t>
      </w:r>
      <w:r w:rsidR="00FC67EF">
        <w:t xml:space="preserve"> </w:t>
      </w:r>
      <w:r w:rsidR="00D42295">
        <w:t>à Genève</w:t>
      </w:r>
      <w:r>
        <w:t>,</w:t>
      </w:r>
      <w:r w:rsidR="00D42295">
        <w:t xml:space="preserve"> </w:t>
      </w:r>
      <w:r w:rsidR="00FC67EF">
        <w:t xml:space="preserve">le premier </w:t>
      </w:r>
      <w:r>
        <w:t xml:space="preserve">des trois tomes </w:t>
      </w:r>
      <w:r w:rsidR="00FC67EF">
        <w:t xml:space="preserve">de la </w:t>
      </w:r>
      <w:proofErr w:type="spellStart"/>
      <w:r w:rsidR="00FC67EF">
        <w:rPr>
          <w:i/>
        </w:rPr>
        <w:t>Bibliotheca</w:t>
      </w:r>
      <w:proofErr w:type="spellEnd"/>
      <w:r w:rsidR="00FC67EF">
        <w:rPr>
          <w:i/>
        </w:rPr>
        <w:t xml:space="preserve"> </w:t>
      </w:r>
      <w:proofErr w:type="spellStart"/>
      <w:r w:rsidR="00FC67EF">
        <w:rPr>
          <w:i/>
        </w:rPr>
        <w:t>calviniana</w:t>
      </w:r>
      <w:proofErr w:type="spellEnd"/>
      <w:r w:rsidR="008B0F0F">
        <w:t>,</w:t>
      </w:r>
      <w:r w:rsidR="00FC67EF">
        <w:rPr>
          <w:i/>
        </w:rPr>
        <w:t xml:space="preserve"> </w:t>
      </w:r>
      <w:r w:rsidR="00FC67EF">
        <w:t>sous les noms de Rodolphe Peter, notre collègue strasbourgeois décédé en 1987</w:t>
      </w:r>
      <w:r w:rsidR="00700C2B">
        <w:t>,</w:t>
      </w:r>
      <w:r w:rsidR="00FC67EF">
        <w:t xml:space="preserve"> et de </w:t>
      </w:r>
      <w:r>
        <w:t xml:space="preserve">J.-F. Gilmont </w:t>
      </w:r>
      <w:r w:rsidR="0001737D">
        <w:t>–</w:t>
      </w:r>
      <w:r w:rsidR="00FC67EF">
        <w:t xml:space="preserve"> </w:t>
      </w:r>
      <w:r>
        <w:t>l</w:t>
      </w:r>
      <w:r w:rsidR="00D42295">
        <w:t xml:space="preserve">es tomes suivants </w:t>
      </w:r>
      <w:r w:rsidR="00C77523">
        <w:t>sont datés de</w:t>
      </w:r>
      <w:r w:rsidR="00D42295">
        <w:t xml:space="preserve"> 1994 et 2000. </w:t>
      </w:r>
      <w:r w:rsidR="00700C2B">
        <w:t>Ce sont là</w:t>
      </w:r>
      <w:r w:rsidR="00D42295">
        <w:t xml:space="preserve"> non seulement </w:t>
      </w:r>
      <w:r w:rsidR="008B0F0F">
        <w:t>des</w:t>
      </w:r>
      <w:r w:rsidR="00D42295">
        <w:t xml:space="preserve"> monument</w:t>
      </w:r>
      <w:r w:rsidR="008B0F0F">
        <w:t>s</w:t>
      </w:r>
      <w:r w:rsidR="00D42295">
        <w:t xml:space="preserve"> d’érudition dont on ne se passera pas avant longtemps, mais aussi un modèle de respect</w:t>
      </w:r>
      <w:r w:rsidR="008B0F0F">
        <w:t xml:space="preserve"> d</w:t>
      </w:r>
      <w:r>
        <w:t>e l’œuvre d’</w:t>
      </w:r>
      <w:r w:rsidR="008B0F0F">
        <w:t>u</w:t>
      </w:r>
      <w:r>
        <w:t>n</w:t>
      </w:r>
      <w:r w:rsidR="008B0F0F">
        <w:t xml:space="preserve"> prédécesseur</w:t>
      </w:r>
      <w:r w:rsidR="00D42295">
        <w:t xml:space="preserve">, de conception intelligente </w:t>
      </w:r>
      <w:r w:rsidR="008B0F0F">
        <w:t xml:space="preserve">d’une bibliographie </w:t>
      </w:r>
      <w:r w:rsidR="00C77523">
        <w:t>qui menaçait d’engloutir son auteur,</w:t>
      </w:r>
      <w:r w:rsidR="008B0F0F">
        <w:t xml:space="preserve"> </w:t>
      </w:r>
      <w:r w:rsidR="00D42295">
        <w:t>et de précision dans le respect des échéances</w:t>
      </w:r>
      <w:r w:rsidR="00C77523">
        <w:t>,</w:t>
      </w:r>
      <w:r w:rsidR="00D42295">
        <w:t xml:space="preserve"> qui font honneur à notre collègue. Les institutions helvétiques</w:t>
      </w:r>
      <w:r>
        <w:t>, genevoises notamment,</w:t>
      </w:r>
      <w:r w:rsidR="008B0F0F">
        <w:t xml:space="preserve"> </w:t>
      </w:r>
      <w:r w:rsidR="00D42295">
        <w:t xml:space="preserve">et </w:t>
      </w:r>
      <w:r w:rsidR="00C77523">
        <w:t>d’</w:t>
      </w:r>
      <w:r w:rsidR="00D42295">
        <w:t xml:space="preserve">autres </w:t>
      </w:r>
      <w:r w:rsidR="00C77523">
        <w:t xml:space="preserve">pays </w:t>
      </w:r>
      <w:r w:rsidR="00D42295">
        <w:t>qui y furent associée</w:t>
      </w:r>
      <w:r w:rsidR="008B0F0F">
        <w:t>s</w:t>
      </w:r>
      <w:r w:rsidR="00D42295">
        <w:t xml:space="preserve"> ne s’y trompèrent pas</w:t>
      </w:r>
      <w:r w:rsidR="00C77523">
        <w:t>,</w:t>
      </w:r>
      <w:r w:rsidR="00D42295">
        <w:t xml:space="preserve"> </w:t>
      </w:r>
      <w:r w:rsidR="008B0F0F">
        <w:t xml:space="preserve">qui </w:t>
      </w:r>
      <w:r w:rsidR="00D42295">
        <w:t>offrirent leur appui</w:t>
      </w:r>
      <w:r w:rsidR="008B0F0F">
        <w:t xml:space="preserve"> sans barguigner</w:t>
      </w:r>
      <w:r w:rsidR="00D42295">
        <w:t xml:space="preserve">. </w:t>
      </w:r>
      <w:r w:rsidR="008B0F0F">
        <w:t>Par là</w:t>
      </w:r>
      <w:r>
        <w:t xml:space="preserve"> aussi</w:t>
      </w:r>
      <w:r w:rsidR="008B0F0F">
        <w:t>,</w:t>
      </w:r>
      <w:r w:rsidR="00D42295">
        <w:t xml:space="preserve"> Jean Calvin </w:t>
      </w:r>
      <w:r w:rsidR="008B0F0F">
        <w:t>s’installait</w:t>
      </w:r>
      <w:r w:rsidR="00D42295">
        <w:t xml:space="preserve"> dans l’agenda de Gilmont, </w:t>
      </w:r>
      <w:r w:rsidR="00914972">
        <w:t>déjà bon connaisseur du milieu genevois d’alors</w:t>
      </w:r>
      <w:r w:rsidR="008B0F0F">
        <w:t> !</w:t>
      </w:r>
      <w:r w:rsidR="004745AA">
        <w:t xml:space="preserve"> </w:t>
      </w:r>
      <w:r w:rsidR="00914972">
        <w:t xml:space="preserve">Peut-être les institutions universitaires </w:t>
      </w:r>
      <w:r w:rsidR="008B0F0F">
        <w:t>auraient-elles pu se montrer moins réticentes</w:t>
      </w:r>
      <w:r w:rsidR="00914972">
        <w:t xml:space="preserve"> à « couronner » un tel travail</w:t>
      </w:r>
      <w:r>
        <w:t>, mais J.-F. Gilmont était serein en la matière !</w:t>
      </w:r>
    </w:p>
    <w:p w14:paraId="2DFC8B8C" w14:textId="77777777" w:rsidR="00C77523" w:rsidRDefault="00C77523" w:rsidP="007D3295">
      <w:pPr>
        <w:spacing w:line="360" w:lineRule="auto"/>
        <w:ind w:firstLine="567"/>
        <w:jc w:val="both"/>
      </w:pPr>
    </w:p>
    <w:p w14:paraId="4C825832" w14:textId="77777777" w:rsidR="00FF526E" w:rsidRDefault="008B0F0F" w:rsidP="007D3295">
      <w:pPr>
        <w:spacing w:line="360" w:lineRule="auto"/>
        <w:ind w:firstLine="567"/>
        <w:jc w:val="both"/>
        <w:rPr>
          <w:i/>
        </w:rPr>
      </w:pPr>
      <w:r>
        <w:t>Architecte de ces «</w:t>
      </w:r>
      <w:r w:rsidR="0001737D">
        <w:t> </w:t>
      </w:r>
      <w:r w:rsidR="00914972">
        <w:t>monuments</w:t>
      </w:r>
      <w:r>
        <w:t> »</w:t>
      </w:r>
      <w:r w:rsidR="00914972">
        <w:t xml:space="preserve">, il </w:t>
      </w:r>
      <w:r w:rsidR="00CE6E64">
        <w:t xml:space="preserve">sut </w:t>
      </w:r>
      <w:r>
        <w:t>rest</w:t>
      </w:r>
      <w:r w:rsidR="00CE6E64">
        <w:t>er</w:t>
      </w:r>
      <w:r w:rsidR="00914972">
        <w:t xml:space="preserve"> présent auprès </w:t>
      </w:r>
      <w:r w:rsidR="00140947">
        <w:t xml:space="preserve">d’institutions et de </w:t>
      </w:r>
      <w:r w:rsidR="00914972">
        <w:t xml:space="preserve">personnes </w:t>
      </w:r>
      <w:r w:rsidR="00140947">
        <w:t>en attente de soutien et de formation</w:t>
      </w:r>
      <w:r w:rsidR="00CE6E64">
        <w:t xml:space="preserve">. Ainsi joua-t-il un rôle utile au sein de </w:t>
      </w:r>
      <w:r w:rsidR="00140947">
        <w:t xml:space="preserve">l’Association professionnelle pour bibliothécaires et documentalistes, créée en 1975 en Belgique ; ou bien </w:t>
      </w:r>
      <w:r w:rsidR="00CE6E64">
        <w:t xml:space="preserve">marqua-t-il </w:t>
      </w:r>
      <w:r w:rsidR="00FF526E">
        <w:t xml:space="preserve">de la </w:t>
      </w:r>
      <w:r w:rsidR="00140947">
        <w:t>bienveillance</w:t>
      </w:r>
      <w:r w:rsidR="00FF526E">
        <w:t xml:space="preserve"> « critique »</w:t>
      </w:r>
      <w:r w:rsidR="00140947">
        <w:t xml:space="preserve"> </w:t>
      </w:r>
      <w:r w:rsidR="00FF526E">
        <w:t>dans son</w:t>
      </w:r>
      <w:r w:rsidR="00140947">
        <w:t xml:space="preserve"> accueil d’un </w:t>
      </w:r>
      <w:r w:rsidR="00140947">
        <w:rPr>
          <w:i/>
        </w:rPr>
        <w:t xml:space="preserve">Traité des </w:t>
      </w:r>
      <w:r w:rsidR="00140947">
        <w:rPr>
          <w:i/>
        </w:rPr>
        <w:lastRenderedPageBreak/>
        <w:t>invectives</w:t>
      </w:r>
      <w:r w:rsidR="00140947">
        <w:t xml:space="preserve">, publié en 2004 par un « amateur », Claude Postel ; </w:t>
      </w:r>
      <w:r w:rsidR="00E053BC">
        <w:t>ou enfin</w:t>
      </w:r>
      <w:r w:rsidR="00FF526E">
        <w:t xml:space="preserve"> rédigea-t-il la belle </w:t>
      </w:r>
      <w:r w:rsidR="00E053BC" w:rsidRPr="00FF526E">
        <w:rPr>
          <w:i/>
        </w:rPr>
        <w:t>Lettre à un bibliographe débutant</w:t>
      </w:r>
      <w:r w:rsidR="004745AA">
        <w:t xml:space="preserve"> </w:t>
      </w:r>
      <w:r w:rsidR="00E053BC">
        <w:t xml:space="preserve">qui ouvre </w:t>
      </w:r>
      <w:r w:rsidR="00E053BC">
        <w:rPr>
          <w:i/>
        </w:rPr>
        <w:t xml:space="preserve">Le livre et ses secrets. </w:t>
      </w:r>
    </w:p>
    <w:p w14:paraId="3F7E43F1" w14:textId="77777777" w:rsidR="00FF526E" w:rsidRDefault="00FF526E" w:rsidP="007D3295">
      <w:pPr>
        <w:spacing w:line="360" w:lineRule="auto"/>
        <w:ind w:firstLine="567"/>
        <w:jc w:val="both"/>
        <w:rPr>
          <w:i/>
        </w:rPr>
      </w:pPr>
    </w:p>
    <w:p w14:paraId="6A013CDB" w14:textId="77777777" w:rsidR="001C5A62" w:rsidRDefault="00FF526E" w:rsidP="007D3295">
      <w:pPr>
        <w:spacing w:line="360" w:lineRule="auto"/>
        <w:ind w:firstLine="567"/>
        <w:jc w:val="both"/>
      </w:pPr>
      <w:r>
        <w:t xml:space="preserve">Il </w:t>
      </w:r>
      <w:r w:rsidR="00E053BC">
        <w:t xml:space="preserve">conviendrait </w:t>
      </w:r>
      <w:r w:rsidR="00C96E69">
        <w:t>ici</w:t>
      </w:r>
      <w:r w:rsidR="00E053BC">
        <w:t xml:space="preserve"> </w:t>
      </w:r>
      <w:r>
        <w:t>d</w:t>
      </w:r>
      <w:r w:rsidR="00E053BC">
        <w:t xml:space="preserve">’évoquer </w:t>
      </w:r>
      <w:r w:rsidR="00C96E69">
        <w:t xml:space="preserve">encore </w:t>
      </w:r>
      <w:r w:rsidR="00E053BC">
        <w:t xml:space="preserve">les dizaines de recensions </w:t>
      </w:r>
      <w:r>
        <w:t xml:space="preserve">qu’il </w:t>
      </w:r>
      <w:r w:rsidR="00E053BC">
        <w:t>publi</w:t>
      </w:r>
      <w:r>
        <w:t>a</w:t>
      </w:r>
      <w:r w:rsidR="00E053BC">
        <w:t xml:space="preserve"> dans diverses </w:t>
      </w:r>
      <w:r w:rsidR="0001737D">
        <w:t>r</w:t>
      </w:r>
      <w:r w:rsidR="00E053BC">
        <w:t>evues</w:t>
      </w:r>
      <w:r w:rsidR="000A0A09">
        <w:t xml:space="preserve"> au </w:t>
      </w:r>
      <w:r w:rsidR="0001737D">
        <w:t>c</w:t>
      </w:r>
      <w:r w:rsidR="000A0A09">
        <w:t xml:space="preserve">omité desquelles il a </w:t>
      </w:r>
      <w:r>
        <w:t>fréquemment figur</w:t>
      </w:r>
      <w:r w:rsidR="000A0A09">
        <w:t>é</w:t>
      </w:r>
      <w:r w:rsidR="00E053BC">
        <w:t xml:space="preserve">, et les </w:t>
      </w:r>
      <w:r w:rsidR="000A0A09">
        <w:t>présentations de ses</w:t>
      </w:r>
      <w:r w:rsidR="00E053BC">
        <w:t xml:space="preserve"> travaux </w:t>
      </w:r>
      <w:r w:rsidR="00C96E69">
        <w:t xml:space="preserve">qu’il fit </w:t>
      </w:r>
      <w:r>
        <w:t>au bénéfice de</w:t>
      </w:r>
      <w:r w:rsidR="00E053BC">
        <w:t xml:space="preserve"> ses collègues de l’Académie.</w:t>
      </w:r>
      <w:r>
        <w:t xml:space="preserve"> Ce sont autant de lieux dans lesquels il montre –</w:t>
      </w:r>
      <w:r w:rsidR="0001737D">
        <w:t xml:space="preserve"> </w:t>
      </w:r>
      <w:r>
        <w:t>il insista souvent sur ce point – qu’il « lisait » les ouvrages</w:t>
      </w:r>
      <w:r w:rsidR="004745AA">
        <w:t xml:space="preserve"> </w:t>
      </w:r>
      <w:r>
        <w:t>qu’il découvrait, inventoriait, et « rangeait ». Ce faisant, il se montrait « libre » dans ses appréciations et ses jugements, modeste dans des questionnements parfois laissés sans réponse</w:t>
      </w:r>
      <w:r w:rsidR="00C77523">
        <w:t>,</w:t>
      </w:r>
      <w:r w:rsidR="001C5A62">
        <w:t xml:space="preserve"> et disposé à en discuter</w:t>
      </w:r>
      <w:r>
        <w:t xml:space="preserve">. </w:t>
      </w:r>
    </w:p>
    <w:p w14:paraId="4C888243" w14:textId="77777777" w:rsidR="001C5A62" w:rsidRDefault="001C5A62" w:rsidP="007D3295">
      <w:pPr>
        <w:spacing w:line="360" w:lineRule="auto"/>
        <w:ind w:firstLine="567"/>
        <w:jc w:val="both"/>
      </w:pPr>
    </w:p>
    <w:p w14:paraId="2BFA22FA" w14:textId="77777777" w:rsidR="00A27C6D" w:rsidRDefault="001C5A62" w:rsidP="007D3295">
      <w:pPr>
        <w:spacing w:line="360" w:lineRule="auto"/>
        <w:ind w:firstLine="567"/>
        <w:jc w:val="both"/>
      </w:pPr>
      <w:r>
        <w:t xml:space="preserve">Non sans un certain amusement, J.-F. Gilmont a publié en 2012 un </w:t>
      </w:r>
      <w:r>
        <w:rPr>
          <w:i/>
        </w:rPr>
        <w:t>Insupportable mais fascinant. Jean Calvin, ses amis, ses ennemis et les autres</w:t>
      </w:r>
      <w:r>
        <w:t xml:space="preserve"> – dont un chapitre sur « La </w:t>
      </w:r>
      <w:r w:rsidR="00B02DF4">
        <w:t>mauvaise foi de Calvin » fut lu</w:t>
      </w:r>
      <w:r>
        <w:t xml:space="preserve"> devant l’Académie. Certains se renfrognèrent ! Retenons </w:t>
      </w:r>
      <w:r w:rsidR="00C77523">
        <w:t xml:space="preserve">ici </w:t>
      </w:r>
      <w:r>
        <w:t xml:space="preserve">la question posée </w:t>
      </w:r>
      <w:r w:rsidR="00A27C6D">
        <w:t>au terme</w:t>
      </w:r>
      <w:r>
        <w:t xml:space="preserve"> de la présentation de plusieurs « tableautins »</w:t>
      </w:r>
      <w:r w:rsidR="00C77523">
        <w:t xml:space="preserve"> </w:t>
      </w:r>
      <w:r w:rsidR="0001737D">
        <w:t>–</w:t>
      </w:r>
      <w:r w:rsidR="00C77523">
        <w:t xml:space="preserve"> solidement argumentés</w:t>
      </w:r>
      <w:r w:rsidR="00A27C6D">
        <w:t xml:space="preserve"> toutefois</w:t>
      </w:r>
      <w:r w:rsidR="00C77523">
        <w:t> !</w:t>
      </w:r>
      <w:r>
        <w:t xml:space="preserve"> </w:t>
      </w:r>
      <w:r w:rsidR="0042491C">
        <w:t>« Qui e</w:t>
      </w:r>
      <w:r>
        <w:t>s</w:t>
      </w:r>
      <w:r w:rsidR="0042491C">
        <w:t xml:space="preserve">t donc de mauvaise foi au terme de cet exposé : Jean Calvin ou moi-même ? </w:t>
      </w:r>
      <w:r w:rsidR="0042491C" w:rsidRPr="00D67883">
        <w:rPr>
          <w:i/>
        </w:rPr>
        <w:t>Au lecteur d’en juger </w:t>
      </w:r>
      <w:r w:rsidR="0042491C">
        <w:t>»</w:t>
      </w:r>
      <w:r w:rsidR="00E053BC">
        <w:t>.</w:t>
      </w:r>
      <w:r w:rsidR="0042491C">
        <w:t xml:space="preserve"> </w:t>
      </w:r>
    </w:p>
    <w:p w14:paraId="361C941B" w14:textId="77777777" w:rsidR="00D67883" w:rsidRDefault="001C5A62" w:rsidP="007D3295">
      <w:pPr>
        <w:spacing w:line="360" w:lineRule="auto"/>
        <w:ind w:firstLine="567"/>
        <w:jc w:val="both"/>
      </w:pPr>
      <w:r>
        <w:t>Cette dernière expression</w:t>
      </w:r>
      <w:r w:rsidR="00D67883">
        <w:t>, une invitation à la discussion,</w:t>
      </w:r>
      <w:r>
        <w:t xml:space="preserve"> </w:t>
      </w:r>
      <w:r w:rsidR="00D67883">
        <w:t>est présente en filigrane dans l’exposé par</w:t>
      </w:r>
      <w:r w:rsidR="00D67883" w:rsidRPr="00D67883">
        <w:t xml:space="preserve"> </w:t>
      </w:r>
      <w:r w:rsidR="00D67883">
        <w:t xml:space="preserve">J.-F. Gilmont de nombre de ses hypothèses et interprétations. </w:t>
      </w:r>
      <w:r w:rsidR="0042491C">
        <w:t xml:space="preserve">Elle vient tout droit de chez les humanistes du </w:t>
      </w:r>
      <w:proofErr w:type="spellStart"/>
      <w:r w:rsidR="0001737D" w:rsidRPr="007D3295">
        <w:rPr>
          <w:smallCaps/>
        </w:rPr>
        <w:t>xvi</w:t>
      </w:r>
      <w:r w:rsidR="0001737D" w:rsidRPr="007D3295">
        <w:rPr>
          <w:vertAlign w:val="superscript"/>
        </w:rPr>
        <w:t>e</w:t>
      </w:r>
      <w:proofErr w:type="spellEnd"/>
      <w:r w:rsidR="0001737D">
        <w:t xml:space="preserve"> siècle </w:t>
      </w:r>
      <w:r w:rsidR="00D67883">
        <w:t>dont il était un lecteur assidu</w:t>
      </w:r>
      <w:r w:rsidR="0042491C">
        <w:t xml:space="preserve">. </w:t>
      </w:r>
      <w:r w:rsidR="00D67883">
        <w:t>E</w:t>
      </w:r>
      <w:r w:rsidR="0042491C">
        <w:t xml:space="preserve">lle </w:t>
      </w:r>
      <w:r w:rsidR="00D67883">
        <w:t>ouvre sur</w:t>
      </w:r>
      <w:r w:rsidR="0042491C">
        <w:t xml:space="preserve"> la relation que Jean-François Gilmont voulut et sut, entretenir avec ses collègues et ses lecteurs. </w:t>
      </w:r>
      <w:r w:rsidR="00D67883">
        <w:t>Elle invite à le lire et ainsi</w:t>
      </w:r>
      <w:r w:rsidR="0042491C">
        <w:t xml:space="preserve"> nourri</w:t>
      </w:r>
      <w:r w:rsidR="00D67883">
        <w:t>r</w:t>
      </w:r>
      <w:r w:rsidR="0042491C">
        <w:t xml:space="preserve"> la mémoire vive </w:t>
      </w:r>
      <w:r w:rsidR="00383196">
        <w:t xml:space="preserve">et reconnaissante </w:t>
      </w:r>
      <w:r w:rsidR="0042491C">
        <w:t>qu</w:t>
      </w:r>
      <w:r w:rsidR="00383196">
        <w:t xml:space="preserve">i est </w:t>
      </w:r>
      <w:r w:rsidR="00D67883">
        <w:t xml:space="preserve">désormais </w:t>
      </w:r>
      <w:r w:rsidR="00383196">
        <w:t>attachée à son nom</w:t>
      </w:r>
      <w:r w:rsidR="00D67883">
        <w:t>.</w:t>
      </w:r>
    </w:p>
    <w:p w14:paraId="016AADFF" w14:textId="77777777" w:rsidR="00D67883" w:rsidRDefault="00D67883" w:rsidP="007D3295">
      <w:pPr>
        <w:spacing w:line="360" w:lineRule="auto"/>
        <w:ind w:firstLine="567"/>
        <w:jc w:val="both"/>
      </w:pPr>
    </w:p>
    <w:p w14:paraId="74A1CF79" w14:textId="77777777" w:rsidR="00A3008F" w:rsidRPr="00E053BC" w:rsidRDefault="00D67883" w:rsidP="007D3295">
      <w:pPr>
        <w:spacing w:line="360" w:lineRule="auto"/>
        <w:ind w:firstLine="567"/>
        <w:jc w:val="both"/>
      </w:pPr>
      <w:r>
        <w:t>Bernard Roussel</w:t>
      </w:r>
      <w:r w:rsidR="00E053BC">
        <w:t xml:space="preserve"> </w:t>
      </w:r>
    </w:p>
    <w:sectPr w:rsidR="00A3008F" w:rsidRPr="00E053BC" w:rsidSect="00681AF8">
      <w:headerReference w:type="default" r:id="rId7"/>
      <w:pgSz w:w="11906" w:h="16838" w:code="9"/>
      <w:pgMar w:top="1418" w:right="1134" w:bottom="1418" w:left="1701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2FB3A" w14:textId="77777777" w:rsidR="00A13EE9" w:rsidRDefault="00A13EE9" w:rsidP="00B02DF4">
      <w:r>
        <w:separator/>
      </w:r>
    </w:p>
  </w:endnote>
  <w:endnote w:type="continuationSeparator" w:id="0">
    <w:p w14:paraId="056A092C" w14:textId="77777777" w:rsidR="00A13EE9" w:rsidRDefault="00A13EE9" w:rsidP="00B02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8582B" w14:textId="77777777" w:rsidR="00A13EE9" w:rsidRDefault="00A13EE9" w:rsidP="00B02DF4">
      <w:r>
        <w:separator/>
      </w:r>
    </w:p>
  </w:footnote>
  <w:footnote w:type="continuationSeparator" w:id="0">
    <w:p w14:paraId="2E27973A" w14:textId="77777777" w:rsidR="00A13EE9" w:rsidRDefault="00A13EE9" w:rsidP="00B02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55516454"/>
      <w:docPartObj>
        <w:docPartGallery w:val="Page Numbers (Top of Page)"/>
        <w:docPartUnique/>
      </w:docPartObj>
    </w:sdtPr>
    <w:sdtEndPr/>
    <w:sdtContent>
      <w:p w14:paraId="64300F83" w14:textId="77777777" w:rsidR="00B02DF4" w:rsidRDefault="00B02DF4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94D">
          <w:rPr>
            <w:noProof/>
          </w:rPr>
          <w:t>1</w:t>
        </w:r>
        <w:r>
          <w:fldChar w:fldCharType="end"/>
        </w:r>
      </w:p>
    </w:sdtContent>
  </w:sdt>
  <w:p w14:paraId="22D00655" w14:textId="77777777" w:rsidR="00B02DF4" w:rsidRDefault="00B02DF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C0A"/>
    <w:rsid w:val="0001737D"/>
    <w:rsid w:val="00030013"/>
    <w:rsid w:val="00061954"/>
    <w:rsid w:val="000A0A09"/>
    <w:rsid w:val="000A35E3"/>
    <w:rsid w:val="00115ECB"/>
    <w:rsid w:val="00140947"/>
    <w:rsid w:val="001C5A62"/>
    <w:rsid w:val="0020212B"/>
    <w:rsid w:val="0026014E"/>
    <w:rsid w:val="002B700C"/>
    <w:rsid w:val="0030512B"/>
    <w:rsid w:val="00325B19"/>
    <w:rsid w:val="00335630"/>
    <w:rsid w:val="00337FE3"/>
    <w:rsid w:val="00383196"/>
    <w:rsid w:val="003D19EB"/>
    <w:rsid w:val="0042491C"/>
    <w:rsid w:val="004745AA"/>
    <w:rsid w:val="00477FC0"/>
    <w:rsid w:val="00482709"/>
    <w:rsid w:val="004B6BEA"/>
    <w:rsid w:val="004C6DA6"/>
    <w:rsid w:val="004C7332"/>
    <w:rsid w:val="00515E9C"/>
    <w:rsid w:val="00540F8A"/>
    <w:rsid w:val="006415E7"/>
    <w:rsid w:val="00681AF8"/>
    <w:rsid w:val="006B5C0A"/>
    <w:rsid w:val="006D203F"/>
    <w:rsid w:val="006F0629"/>
    <w:rsid w:val="00700C2B"/>
    <w:rsid w:val="007028C3"/>
    <w:rsid w:val="00731CE8"/>
    <w:rsid w:val="007773EF"/>
    <w:rsid w:val="007A0A17"/>
    <w:rsid w:val="007C194D"/>
    <w:rsid w:val="007D3295"/>
    <w:rsid w:val="008334B0"/>
    <w:rsid w:val="00891F63"/>
    <w:rsid w:val="008B0F0F"/>
    <w:rsid w:val="008F2B9F"/>
    <w:rsid w:val="00910BF7"/>
    <w:rsid w:val="00914972"/>
    <w:rsid w:val="00936B70"/>
    <w:rsid w:val="00956329"/>
    <w:rsid w:val="009B0FAB"/>
    <w:rsid w:val="00A13EE9"/>
    <w:rsid w:val="00A1408A"/>
    <w:rsid w:val="00A20209"/>
    <w:rsid w:val="00A27C6D"/>
    <w:rsid w:val="00A3008F"/>
    <w:rsid w:val="00A844B0"/>
    <w:rsid w:val="00AF494C"/>
    <w:rsid w:val="00B02DF4"/>
    <w:rsid w:val="00C77523"/>
    <w:rsid w:val="00C96A67"/>
    <w:rsid w:val="00C96E69"/>
    <w:rsid w:val="00CE6E64"/>
    <w:rsid w:val="00D42295"/>
    <w:rsid w:val="00D4347A"/>
    <w:rsid w:val="00D67883"/>
    <w:rsid w:val="00D93EDB"/>
    <w:rsid w:val="00DE3EE4"/>
    <w:rsid w:val="00DF6E0F"/>
    <w:rsid w:val="00E053BC"/>
    <w:rsid w:val="00E432EE"/>
    <w:rsid w:val="00E7635B"/>
    <w:rsid w:val="00EE600E"/>
    <w:rsid w:val="00EE6AE6"/>
    <w:rsid w:val="00EF740A"/>
    <w:rsid w:val="00F83B33"/>
    <w:rsid w:val="00F94A50"/>
    <w:rsid w:val="00FC36C0"/>
    <w:rsid w:val="00FC67EF"/>
    <w:rsid w:val="00FD4D15"/>
    <w:rsid w:val="00FF5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09736"/>
  <w15:docId w15:val="{8BEF6A8E-7DE7-433F-A1FF-05A3CFC68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2DF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2DF4"/>
  </w:style>
  <w:style w:type="paragraph" w:styleId="Pieddepage">
    <w:name w:val="footer"/>
    <w:basedOn w:val="Normal"/>
    <w:link w:val="PieddepageCar"/>
    <w:uiPriority w:val="99"/>
    <w:unhideWhenUsed/>
    <w:rsid w:val="00B02D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2DF4"/>
  </w:style>
  <w:style w:type="paragraph" w:styleId="Textedebulles">
    <w:name w:val="Balloon Text"/>
    <w:basedOn w:val="Normal"/>
    <w:link w:val="TextedebullesCar"/>
    <w:uiPriority w:val="99"/>
    <w:semiHidden/>
    <w:unhideWhenUsed/>
    <w:rsid w:val="00B02D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2D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AF1D2-4A80-4101-8B81-2A80D1EBD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1484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</dc:creator>
  <cp:keywords/>
  <cp:lastModifiedBy>Alexandre Vanautgaerden</cp:lastModifiedBy>
  <cp:revision>2</cp:revision>
  <cp:lastPrinted>2020-08-21T08:30:00Z</cp:lastPrinted>
  <dcterms:created xsi:type="dcterms:W3CDTF">2021-04-13T09:41:00Z</dcterms:created>
  <dcterms:modified xsi:type="dcterms:W3CDTF">2021-04-13T09:41:00Z</dcterms:modified>
</cp:coreProperties>
</file>